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5.png" ContentType="image/png"/>
  <Override PartName="/word/media/rId106.png" ContentType="image/png"/>
  <Override PartName="/word/media/rId110.png" ContentType="image/png"/>
  <Override PartName="/word/media/rId120.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Word count:</w:t>
      </w:r>
      <w:r>
        <w:t xml:space="preserve"> </w:t>
      </w:r>
      <w:r>
        <w:t xml:space="preserve">xxx words / xxx words</w:t>
      </w:r>
    </w:p>
    <w:p>
      <w:pPr>
        <w:pStyle w:val="BodyText"/>
      </w:pPr>
      <w:r>
        <w:rPr>
          <w:b/>
          <w:bCs/>
          <w:u w:val="single"/>
        </w:rPr>
        <w:t xml:space="preserve">Tables:</w:t>
      </w:r>
      <w:r>
        <w:t xml:space="preserve"> </w:t>
      </w:r>
      <w:r>
        <w:t xml:space="preserve">x</w:t>
      </w:r>
    </w:p>
    <w:p>
      <w:pPr>
        <w:pStyle w:val="BodyText"/>
      </w:pPr>
      <w:r>
        <w:rPr>
          <w:b/>
          <w:bCs/>
          <w:u w:val="single"/>
        </w:rPr>
        <w:t xml:space="preserve">Figures:</w:t>
      </w:r>
      <w:r>
        <w:t xml:space="preserve"> </w:t>
      </w:r>
      <w:r>
        <w:t xml:space="preserve">x</w:t>
      </w:r>
    </w:p>
    <w:p>
      <w:pPr>
        <w:pStyle w:val="BodyText"/>
      </w:pPr>
      <w:r>
        <w:rPr>
          <w:b/>
          <w:bCs/>
          <w:u w:val="single"/>
        </w:rPr>
        <w:t xml:space="preserve">Supplementary material:</w:t>
      </w:r>
      <w:r>
        <w:t xml:space="preserve"> </w:t>
      </w:r>
      <w:r>
        <w:t xml:space="preserve">Supplementary tables and figures</w:t>
      </w:r>
    </w:p>
    <w:p>
      <w:pPr>
        <w:pStyle w:val="BodyText"/>
      </w:pPr>
      <w:r>
        <w:rPr>
          <w:b/>
          <w:bCs/>
          <w:u w:val="single"/>
        </w:rPr>
        <w:t xml:space="preserve">Short running title</w:t>
      </w:r>
      <w:r>
        <w:t xml:space="preserve">: …</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w:t>
      </w:r>
    </w:p>
    <w:p>
      <w:pPr>
        <w:pStyle w:val="BodyText"/>
      </w:pPr>
      <w:r>
        <w:rPr>
          <w:b/>
          <w:bCs/>
          <w:u w:val="single"/>
        </w:rPr>
        <w:t xml:space="preserve">Analytic code sharing statement:</w:t>
      </w:r>
      <w:r>
        <w:t xml:space="preserve"> </w:t>
      </w:r>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2024-12-14 19:46:43.126989</w:t>
      </w:r>
    </w:p>
    <w:p>
      <w:r>
        <w:br w:type="page"/>
      </w:r>
    </w:p>
    <w:bookmarkStart w:id="21" w:name="abstract"/>
    <w:p>
      <w:pPr>
        <w:pStyle w:val="Heading1"/>
      </w:pPr>
      <w:r>
        <w:t xml:space="preserve">Abstract</w:t>
      </w:r>
    </w:p>
    <w:p>
      <w:pPr>
        <w:pStyle w:val="FirstParagraph"/>
      </w:pPr>
      <w:r>
        <w:t xml:space="preserve">xxx words/xxx words</w:t>
      </w:r>
    </w:p>
    <w:p>
      <w:pPr>
        <w:pStyle w:val="BodyText"/>
      </w:pPr>
      <w:r>
        <w:t xml:space="preserve">…</w:t>
      </w:r>
    </w:p>
    <w:p>
      <w:r>
        <w:br w:type="page"/>
      </w:r>
    </w:p>
    <w:bookmarkEnd w:id="21"/>
    <w:bookmarkStart w:id="22"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With 21% of all approvals, oncology was the disease area with the most FDA drug approvals in 2023,</w:t>
      </w:r>
      <w:r>
        <w:rPr>
          <w:vertAlign w:val="superscript"/>
        </w:rPr>
        <w:t xml:space="preserve">3</w:t>
      </w:r>
      <w:r>
        <w:t xml:space="preserve"> </w:t>
      </w:r>
      <w:r>
        <w:t xml:space="preserve">and especially in the field of precision oncology, RWE has a large potential to complement evidence coming from RCTs. Potential use cases comprise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accuracy of RWE studies and to provide an answer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comparing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which comes with its own unique set of challenges which must be systematically explored and understood. Building on a process co-developed with the FDA through RCT DUPLICATE</w:t>
      </w:r>
      <w:r>
        <w:rPr>
          <w:vertAlign w:val="superscript"/>
        </w:rPr>
        <w:t xml:space="preserve">9</w:t>
      </w:r>
      <w:r>
        <w:t xml:space="preserve">, this expansion to oncology is going to emulate 12 randomized clinical trials using multiple EHR data sources. The process includes an emphasis on transparency with documented assessment of data fitness of the RWD source for each trial</w:t>
      </w:r>
      <w:r>
        <w:rPr>
          <w:vertAlign w:val="superscript"/>
        </w:rPr>
        <w:t xml:space="preserve">12, 13</w:t>
      </w:r>
      <w:r>
        <w:t xml:space="preserve"> </w:t>
      </w:r>
      <w:r>
        <w:t xml:space="preserve">and the conduct of extensive sensitivity analyses to assess robustness of findings and trial eligibility criteria.</w:t>
      </w:r>
    </w:p>
    <w:p>
      <w:pPr>
        <w:pStyle w:val="BodyText"/>
      </w:pPr>
      <w:r>
        <w:t xml:space="preserve">The objectives of this project are to develop state-of-the-art methodological approaches and apply these to create insights that may provide guidance on the potential use of RWE for regulatory science in oncology. This includes the systematic evaluation of the suitability of data in relation to the study design and statistical analysis by emulating 12 oncology trials across four cancers and assessing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study design and statistical analysis and final agreement metrics to evaluate the concordance between RCTs and emulations.</w:t>
      </w:r>
    </w:p>
    <w:bookmarkEnd w:id="22"/>
    <w:bookmarkStart w:id="33"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3"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and/or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we aim to conduct three trial emulations which will be implemented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The trial selection will follow a semi-automated process for which we will document the eligibility criteria resulting in a CONSORT diagram showing reasons for excluding RCTs. The search will be conducted using the AACT database which is s a publicly available relational database developed and maintained by the Clinical Trials Transformation Initiative (CTTI) which contains all information (protocol and result data elements) about every study registered on ClinicalTrials.gov.</w:t>
      </w:r>
      <w:r>
        <w:rPr>
          <w:vertAlign w:val="superscript"/>
        </w:rPr>
        <w:t xml:space="preserve">14</w:t>
      </w:r>
      <w:r>
        <w:t xml:space="preserve"> </w:t>
      </w:r>
      <w:r>
        <w:t xml:space="preserve">To identify eligible trials, we will use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need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since treatment guidelines among included cancer indications have undergone significant changes in recent years. Due to the rapid adoption of new breakthrough therapies in routine care, it is unlikely to find patients who may be still treated with outdated treatment regimens in the real-world. In parallel, trial results should have also not been published too recently in order to allow for enough data and follow-up time accrual in databases used for this project. A further focus is on trials that have reported overall survival (OS) as one of the pre-specified endpoints in the protocol.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the large number of other methodological challenges like missing data, small sample sizes, data discontinuity and rapidly changing guideline treatments, the scope of this project was to focus on the emulation of OS as the endpoint of interest.</w:t>
      </w:r>
    </w:p>
    <w:p>
      <w:pPr>
        <w:pStyle w:val="BodyText"/>
      </w:pPr>
      <w:r>
        <w:t xml:space="preserve">While most trial-eligibility criteria can be operationalized in an automated fashion, the last criterion on emulation feasibility and clinical relevance involves extensive human review. The critical points considered in this step include a thorough feasibility assessment of the data fitness</w:t>
      </w:r>
      <w:r>
        <w:rPr>
          <w:vertAlign w:val="superscript"/>
        </w:rPr>
        <w:t xml:space="preserve">19</w:t>
      </w:r>
      <w:r>
        <w:t xml:space="preserve">, sample size considerations and the assessment if critical eligibility criteria (e.g., biomarker status) and prognostic factors (e.g., ECOG performance score) are measurable and can be balanced using propensity score matching or weighting methods.</w:t>
      </w:r>
      <w:r>
        <w:rPr>
          <w:vertAlign w:val="superscript"/>
        </w:rPr>
        <w:t xml:space="preserve">20</w:t>
      </w:r>
      <w:r>
        <w:t xml:space="preserve"> </w:t>
      </w:r>
      <w:r>
        <w:t xml:space="preserve">Lastly, trial candidates are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will cover advanced or metastatic cancer populations since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ongoing feasibility assessments indicate that these trials cannot be emulated with high enough confidence, runner-up candidates will be considered instead.</w:t>
      </w:r>
    </w:p>
    <w:bookmarkEnd w:id="23"/>
    <w:bookmarkStart w:id="24" w:name="databases"/>
    <w:p>
      <w:pPr>
        <w:pStyle w:val="Heading2"/>
      </w:pPr>
      <w:r>
        <w:t xml:space="preserve">Databases</w:t>
      </w:r>
    </w:p>
    <w:p>
      <w:pPr>
        <w:pStyle w:val="FirstParagraph"/>
      </w:pPr>
      <w:r>
        <w:t xml:space="preserve">The ENCORE project will utilize data from a total of four different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for each emulation protocol individually.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w:t>
      </w:r>
    </w:p>
    <w:bookmarkEnd w:id="24"/>
    <w:bookmarkStart w:id="26"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following the HARPER protocol template</w:t>
      </w:r>
      <w:r>
        <w:rPr>
          <w:vertAlign w:val="superscript"/>
        </w:rPr>
        <w:t xml:space="preserve">21</w:t>
      </w:r>
      <w:r>
        <w:t xml:space="preserve"> </w:t>
      </w:r>
      <w:r>
        <w:t xml:space="preserve">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2.5</w:t>
        </w:r>
      </w:hyperlink>
      <w:r>
        <w:t xml:space="preserve">). All eligibility criteria will be extracted based on publicly available protocols and statistical analysis plans of the selected RCT.</w:t>
      </w:r>
    </w:p>
    <w:bookmarkStart w:id="25" w:name="emulation-feasibility"/>
    <w:p>
      <w:pPr>
        <w:pStyle w:val="Heading3"/>
      </w:pPr>
      <w:r>
        <w:t xml:space="preserve">Emulation feasibility</w:t>
      </w:r>
    </w:p>
    <w:p>
      <w:pPr>
        <w:pStyle w:val="FirstParagraph"/>
      </w:pPr>
      <w:r>
        <w:rPr>
          <w:b/>
          <w:bCs/>
        </w:rPr>
        <w:t xml:space="preserve">Fit-for-purpose data.</w:t>
      </w:r>
      <w:r>
        <w:t xml:space="preserve"> </w:t>
      </w:r>
      <w:r>
        <w:t xml:space="preserve">Real-world data fitness and emulation feasibility for a given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p>
      <w:pPr>
        <w:pStyle w:val="BodyText"/>
      </w:pPr>
      <w:r>
        <w:rPr>
          <w:b/>
          <w:bCs/>
        </w:rPr>
        <w:t xml:space="preserve">Descriptives and data exploration.</w:t>
      </w:r>
      <w:r>
        <w:t xml:space="preserve"> </w:t>
      </w: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 for such standard diagnostics are visualized in</w:t>
      </w:r>
      <w:r>
        <w:t xml:space="preserve"> </w:t>
      </w:r>
      <w:hyperlink w:anchor="fig-initiators">
        <w:r>
          <w:rPr>
            <w:rStyle w:val="Hyperlink"/>
          </w:rPr>
          <w:t xml:space="preserve">Figure 2</w:t>
        </w:r>
      </w:hyperlink>
      <w:r>
        <w:t xml:space="preserve">.</w:t>
      </w:r>
    </w:p>
    <w:p>
      <w:pPr>
        <w:pStyle w:val="BodyText"/>
      </w:pPr>
      <w:r>
        <w:t xml:space="preserve">The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p>
      <w:pPr>
        <w:pStyle w:val="BodyText"/>
      </w:pPr>
      <w:r>
        <w:rPr>
          <w:b/>
          <w:bCs/>
        </w:rPr>
        <w:t xml:space="preserve">Statistical power</w:t>
      </w:r>
      <w:r>
        <w:t xml:space="preserve">. 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statistical power is a critical to assess the feasibility that a comparison of agreement metrics of estimated parameters between RCT and RWD with sufficient precision can be made.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27–29</w:t>
      </w:r>
    </w:p>
    <w:bookmarkEnd w:id="25"/>
    <w:bookmarkEnd w:id="26"/>
    <w:bookmarkStart w:id="31"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30</w:t>
      </w:r>
    </w:p>
    <w:bookmarkStart w:id="27"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31</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32, 33</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34</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35</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34</w:t>
      </w:r>
      <w:r>
        <w:t xml:space="preserve"> </w:t>
      </w:r>
      <w:r>
        <w:t xml:space="preserve">Hence, methodologies which retain patients and give the potential to adjust for a broader set of prognostic factors (e.g., multiple imputation</w:t>
      </w:r>
      <w:r>
        <w:rPr>
          <w:vertAlign w:val="superscript"/>
        </w:rPr>
        <w:t xml:space="preserve">36</w:t>
      </w:r>
      <w:r>
        <w:t xml:space="preserve"> </w:t>
      </w:r>
      <w:r>
        <w:t xml:space="preserve">or doubly robust methods</w:t>
      </w:r>
      <w:r>
        <w:rPr>
          <w:vertAlign w:val="superscript"/>
        </w:rPr>
        <w:t xml:space="preserve">37</w:t>
      </w:r>
      <w:r>
        <w:t xml:space="preserve">) may be preferred over complete case analyses.</w:t>
      </w:r>
    </w:p>
    <w:bookmarkEnd w:id="27"/>
    <w:bookmarkStart w:id="28"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38</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39, 40</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41</w:t>
      </w:r>
      <w:r>
        <w:t xml:space="preserve"> </w:t>
      </w:r>
      <w:r>
        <w:t xml:space="preserve">and restricted mean survival times as secondary endpoints of interest.</w:t>
      </w:r>
    </w:p>
    <w:p>
      <w:pPr>
        <w:pStyle w:val="BodyText"/>
      </w:pPr>
      <w:r>
        <w:t xml:space="preserve">For the estimation of marginal treatment effects, we will employ propensity score analytics to adjust for measured confounding between treatment arms. The selection of important prognostic covariates will be based on expert clinical knowledge and published literature on prognostic scores in oncology.</w:t>
      </w:r>
      <w:r>
        <w:rPr>
          <w:vertAlign w:val="superscript"/>
        </w:rPr>
        <w:t xml:space="preserve">42</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43, 44</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45, 46</w:t>
      </w:r>
      <w:r>
        <w:t xml:space="preserve"> </w:t>
      </w:r>
      <w:r>
        <w:t xml:space="preserve">This approach has been shown to lead to unbiased estimates across different simulated scenarios with a sufficient estimation of the variance.</w:t>
      </w:r>
      <w:r>
        <w:rPr>
          <w:vertAlign w:val="superscript"/>
        </w:rPr>
        <w:t xml:space="preserve">43</w:t>
      </w:r>
    </w:p>
    <w:p>
      <w:pPr>
        <w:pStyle w:val="BodyText"/>
      </w:pPr>
      <w:r>
        <w:t xml:space="preserve">To asses the balance of pre-exposure covariates after matching or weighting on each imputed dataset, the average standardized mean difference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47</w:t>
      </w:r>
      <w:r>
        <w:t xml:space="preserve"> </w:t>
      </w:r>
      <w:r>
        <w:t xml:space="preserve">Further, we will compute the average post-matching or post-weighting C-statistics.</w:t>
      </w:r>
      <w:r>
        <w:rPr>
          <w:vertAlign w:val="superscript"/>
        </w:rPr>
        <w:t xml:space="preserve">48</w:t>
      </w:r>
      <w:r>
        <w:t xml:space="preserve"> </w:t>
      </w:r>
      <w:r>
        <w:t xml:space="preserve">In addition, we will use a published prognostic score fro OS</w:t>
      </w:r>
      <w:r>
        <w:rPr>
          <w:vertAlign w:val="superscript"/>
        </w:rPr>
        <w:t xml:space="preserve">42</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49</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41</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50, 51</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28"/>
    <w:bookmarkStart w:id="29"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29"/>
    <w:bookmarkStart w:id="30"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with parameterized functions. A detailed documentation can be found in the Supplementary Material.</w:t>
      </w:r>
    </w:p>
    <w:bookmarkEnd w:id="30"/>
    <w:bookmarkEnd w:id="31"/>
    <w:bookmarkStart w:id="32"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9, 52</w:t>
      </w:r>
      <w:r>
        <w:t xml:space="preserve"> </w:t>
      </w:r>
      <w:r>
        <w:t xml:space="preserve">That is, for the primary endpoint of interest (HR and corresponding 95% confidence intervals), we will derive two qualitative agreement metrics (regulatory agreement, estimate agreement) and one quantitative agreement based on the SMD.</w:t>
      </w:r>
    </w:p>
    <w:p>
      <w:pPr>
        <w:numPr>
          <w:ilvl w:val="0"/>
          <w:numId w:val="1002"/>
        </w:numPr>
      </w:pPr>
      <w:r>
        <w:rPr>
          <w:b/>
          <w:bCs/>
        </w:rPr>
        <w:t xml:space="preserve">Regulatory agreement</w:t>
      </w:r>
      <w:r>
        <w:t xml:space="preserve">: agreement between RCT and emulated trial treatment effect with regards to directionality and statistical significance. This agreement metric mimics the question if RWE would have lead to the same regulatory conclusion as the trial, based on standard regulatory decision rules.</w:t>
      </w:r>
    </w:p>
    <w:p>
      <w:pPr>
        <w:numPr>
          <w:ilvl w:val="0"/>
          <w:numId w:val="1002"/>
        </w:numPr>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us no regulatory agreement although the treatment effect estimates are highly overlapping but the RCT estimate crosses the null (or vice versa).</w:t>
      </w:r>
    </w:p>
    <w:p>
      <w:pPr>
        <w:numPr>
          <w:ilvl w:val="0"/>
          <w:numId w:val="1002"/>
        </w:numPr>
      </w:pPr>
      <w:r>
        <w:rPr>
          <w:b/>
          <w:bCs/>
        </w:rPr>
        <w:t xml:space="preserve">SMD agreement</w:t>
      </w:r>
      <w:r>
        <w:t xml:space="preserve">: quantification of the agreement between the emulated RWE and RCT treatment effect estimate. The SMD is calculated as</w:t>
      </w:r>
    </w:p>
    <w:p>
      <w:pPr>
        <w:pStyle w:val="FirstParagraph"/>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We would like to note that only the SMD agreement metric will be applicable to absolute risk measures like median survival times or survival probabilities.</w:t>
      </w:r>
    </w:p>
    <w:p>
      <w:r>
        <w:br w:type="page"/>
      </w:r>
    </w:p>
    <w:bookmarkEnd w:id="32"/>
    <w:bookmarkEnd w:id="33"/>
    <w:bookmarkStart w:id="35" w:name="discussion"/>
    <w:p>
      <w:pPr>
        <w:pStyle w:val="Heading1"/>
      </w:pPr>
      <w:r>
        <w:t xml:space="preserve">Discussion</w:t>
      </w:r>
    </w:p>
    <w:p>
      <w:pPr>
        <w:pStyle w:val="FirstParagraph"/>
      </w:pPr>
      <w:r>
        <w:t xml:space="preserve">Target populations in international trials…genetic setup.</w:t>
      </w:r>
    </w:p>
    <w:bookmarkStart w:id="34" w:name="conclusions"/>
    <w:p>
      <w:pPr>
        <w:pStyle w:val="Heading2"/>
      </w:pPr>
      <w:r>
        <w:t xml:space="preserve">Conclusions</w:t>
      </w:r>
    </w:p>
    <w:p>
      <w:pPr>
        <w:pStyle w:val="FirstParagraph"/>
      </w:pPr>
      <w:r>
        <w:t xml:space="preserve">…</w:t>
      </w:r>
    </w:p>
    <w:p>
      <w:r>
        <w:br w:type="page"/>
      </w:r>
    </w:p>
    <w:bookmarkEnd w:id="34"/>
    <w:bookmarkEnd w:id="35"/>
    <w:bookmarkStart w:id="105" w:name="references"/>
    <w:p>
      <w:pPr>
        <w:pStyle w:val="Heading1"/>
      </w:pPr>
      <w:r>
        <w:t xml:space="preserve">References</w:t>
      </w:r>
    </w:p>
    <w:bookmarkStart w:id="104" w:name="refs"/>
    <w:bookmarkStart w:id="37" w:name="ref-RWEFDA"/>
    <w:p>
      <w:pPr>
        <w:pStyle w:val="Bibliography"/>
      </w:pPr>
      <w:r>
        <w:rPr>
          <w:b/>
          <w:bCs/>
        </w:rPr>
        <w:t xml:space="preserve">1</w:t>
      </w:r>
      <w:r>
        <w:t xml:space="preserve">. Framework for FDA’s real-world evidence program (last accessed 11/28/2024) [Internet], 2018Available from:</w:t>
      </w:r>
      <w:r>
        <w:t xml:space="preserve"> </w:t>
      </w:r>
      <w:hyperlink r:id="rId36">
        <w:r>
          <w:rPr>
            <w:rStyle w:val="Hyperlink"/>
          </w:rPr>
          <w:t xml:space="preserve">https://www.fda.gov/media/120060/download?attachment</w:t>
        </w:r>
      </w:hyperlink>
    </w:p>
    <w:bookmarkEnd w:id="37"/>
    <w:bookmarkStart w:id="38"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38"/>
    <w:bookmarkStart w:id="39" w:name="ref-senior2024fresh"/>
    <w:p>
      <w:pPr>
        <w:pStyle w:val="Bibliography"/>
      </w:pPr>
      <w:r>
        <w:rPr>
          <w:b/>
          <w:bCs/>
        </w:rPr>
        <w:t xml:space="preserve">3</w:t>
      </w:r>
      <w:r>
        <w:t xml:space="preserve">. Senior M: Fresh from the biotech pipeline: Record-breaking FDA approvals. Nature Biotechnology, 2024</w:t>
      </w:r>
    </w:p>
    <w:bookmarkEnd w:id="39"/>
    <w:bookmarkStart w:id="41"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0">
        <w:r>
          <w:rPr>
            <w:rStyle w:val="Hyperlink"/>
          </w:rPr>
          <w:t xml:space="preserve">http://dx.doi.org/10.1016/j.annepidem.2022.07.007</w:t>
        </w:r>
      </w:hyperlink>
    </w:p>
    <w:bookmarkEnd w:id="41"/>
    <w:bookmarkStart w:id="42"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2"/>
    <w:bookmarkStart w:id="43"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3"/>
    <w:bookmarkStart w:id="44"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4"/>
    <w:bookmarkStart w:id="45"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5"/>
    <w:bookmarkStart w:id="47" w:name="ref-wang2023emulation"/>
    <w:p>
      <w:pPr>
        <w:pStyle w:val="Bibliography"/>
      </w:pPr>
      <w:r>
        <w:rPr>
          <w:b/>
          <w:bCs/>
        </w:rPr>
        <w:t xml:space="preserve">9</w:t>
      </w:r>
      <w:r>
        <w:t xml:space="preserve">. Wang SV, Schneeweiss S, Franklin JM, et al:</w:t>
      </w:r>
      <w:r>
        <w:t xml:space="preserve"> </w:t>
      </w:r>
      <w:hyperlink r:id="rId46">
        <w:r>
          <w:rPr>
            <w:rStyle w:val="Hyperlink"/>
          </w:rPr>
          <w:t xml:space="preserve">Emulation of randomized clinical trials with nonrandomized database analyses: Results of 32 clinical trials</w:t>
        </w:r>
      </w:hyperlink>
      <w:r>
        <w:t xml:space="preserve">. Jama 329:1376–1385, 2023</w:t>
      </w:r>
    </w:p>
    <w:bookmarkEnd w:id="47"/>
    <w:bookmarkStart w:id="49"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48">
        <w:r>
          <w:rPr>
            <w:rStyle w:val="Hyperlink"/>
          </w:rPr>
          <w:t xml:space="preserve">https://doi.org/10.1136/bmjmed-2023-000709</w:t>
        </w:r>
      </w:hyperlink>
    </w:p>
    <w:bookmarkEnd w:id="49"/>
    <w:bookmarkStart w:id="51"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0">
        <w:r>
          <w:rPr>
            <w:rStyle w:val="Hyperlink"/>
          </w:rPr>
          <w:t xml:space="preserve">https://www.fda.gov/about-fda/oncology-center-excellence/calibrating-real-world-evidence-studies-oncology-against-randomized-trials-encore</w:t>
        </w:r>
      </w:hyperlink>
    </w:p>
    <w:bookmarkEnd w:id="51"/>
    <w:bookmarkStart w:id="52"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2"/>
    <w:bookmarkStart w:id="53"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3"/>
    <w:bookmarkStart w:id="54"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4"/>
    <w:bookmarkStart w:id="55"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5"/>
    <w:bookmarkStart w:id="57"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56">
        <w:r>
          <w:rPr>
            <w:rStyle w:val="Hyperlink"/>
          </w:rPr>
          <w:t xml:space="preserve">https://doi.org/10.1158/1078-0432.CCR-22-0471</w:t>
        </w:r>
      </w:hyperlink>
    </w:p>
    <w:bookmarkEnd w:id="57"/>
    <w:bookmarkStart w:id="58"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58"/>
    <w:bookmarkStart w:id="60"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59">
        <w:r>
          <w:rPr>
            <w:rStyle w:val="Hyperlink"/>
          </w:rPr>
          <w:t xml:space="preserve">https://ascopubs.org/doi/abs/10.1200/JCO.2023.41.16_suppl.e21194</w:t>
        </w:r>
      </w:hyperlink>
    </w:p>
    <w:bookmarkEnd w:id="60"/>
    <w:bookmarkStart w:id="61"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1"/>
    <w:bookmarkStart w:id="62" w:name="ref-brookhart2006variable"/>
    <w:p>
      <w:pPr>
        <w:pStyle w:val="Bibliography"/>
      </w:pPr>
      <w:r>
        <w:rPr>
          <w:b/>
          <w:bCs/>
        </w:rPr>
        <w:t xml:space="preserve">20</w:t>
      </w:r>
      <w:r>
        <w:t xml:space="preserve">. Brookhart MA, Schneeweiss S, Rothman KJ, et al: Variable selection for propensity score models. American journal of epidemiology 163:1149–1156, 2006</w:t>
      </w:r>
    </w:p>
    <w:bookmarkEnd w:id="62"/>
    <w:bookmarkStart w:id="64" w:name="ref-wang2022harmonized"/>
    <w:p>
      <w:pPr>
        <w:pStyle w:val="Bibliography"/>
      </w:pPr>
      <w:r>
        <w:rPr>
          <w:b/>
          <w:bCs/>
        </w:rPr>
        <w:t xml:space="preserve">21</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3">
        <w:r>
          <w:rPr>
            <w:rStyle w:val="Hyperlink"/>
          </w:rPr>
          <w:t xml:space="preserve">https://doi.org/10.1016/j.jval.2022.09.001</w:t>
        </w:r>
      </w:hyperlink>
    </w:p>
    <w:bookmarkEnd w:id="64"/>
    <w:bookmarkStart w:id="65"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5"/>
    <w:bookmarkStart w:id="67" w:name="ref-hernan2016specifying"/>
    <w:p>
      <w:pPr>
        <w:pStyle w:val="Bibliography"/>
      </w:pPr>
      <w:r>
        <w:rPr>
          <w:b/>
          <w:bCs/>
        </w:rPr>
        <w:t xml:space="preserve">23</w:t>
      </w:r>
      <w:r>
        <w:t xml:space="preserve">. Hernán MA, Sauer BC, Hernández-Dı́az S, et al:</w:t>
      </w:r>
      <w:r>
        <w:t xml:space="preserve"> </w:t>
      </w:r>
      <w:hyperlink r:id="rId66">
        <w:r>
          <w:rPr>
            <w:rStyle w:val="Hyperlink"/>
          </w:rPr>
          <w:t xml:space="preserve">Specifying a target trial prevents immortal time bias and other self-inflicted injuries in observational analyses</w:t>
        </w:r>
      </w:hyperlink>
      <w:r>
        <w:t xml:space="preserve">. Journal of clinical epidemiology 79:70–75, 2016</w:t>
      </w:r>
    </w:p>
    <w:bookmarkEnd w:id="67"/>
    <w:bookmarkStart w:id="68"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68"/>
    <w:bookmarkStart w:id="70"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69">
        <w:r>
          <w:rPr>
            <w:rStyle w:val="Hyperlink"/>
          </w:rPr>
          <w:t xml:space="preserve">http://dx.doi.org/10.1002/pst.1917</w:t>
        </w:r>
      </w:hyperlink>
    </w:p>
    <w:bookmarkEnd w:id="70"/>
    <w:bookmarkStart w:id="71"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1"/>
    <w:bookmarkStart w:id="72"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2"/>
    <w:bookmarkStart w:id="73" w:name="ref-schoenfeld1983sample"/>
    <w:p>
      <w:pPr>
        <w:pStyle w:val="Bibliography"/>
      </w:pPr>
      <w:r>
        <w:rPr>
          <w:b/>
          <w:bCs/>
        </w:rPr>
        <w:t xml:space="preserve">28</w:t>
      </w:r>
      <w:r>
        <w:t xml:space="preserve">. Schoenfeld DA: Sample-size formula for the proportional-hazards regression model. Biometrics 499–503, 1983</w:t>
      </w:r>
    </w:p>
    <w:bookmarkEnd w:id="73"/>
    <w:bookmarkStart w:id="75" w:name="ref-gsDesign"/>
    <w:p>
      <w:pPr>
        <w:pStyle w:val="Bibliography"/>
      </w:pPr>
      <w:r>
        <w:rPr>
          <w:b/>
          <w:bCs/>
        </w:rPr>
        <w:t xml:space="preserve">29</w:t>
      </w:r>
      <w:r>
        <w:t xml:space="preserve">. Anderson K: gsDesign: Group sequential design [Internet], 2024Available from:</w:t>
      </w:r>
      <w:r>
        <w:t xml:space="preserve"> </w:t>
      </w:r>
      <w:hyperlink r:id="rId74">
        <w:r>
          <w:rPr>
            <w:rStyle w:val="Hyperlink"/>
          </w:rPr>
          <w:t xml:space="preserve">https://keaven.github.io/gsDesign/</w:t>
        </w:r>
      </w:hyperlink>
    </w:p>
    <w:bookmarkEnd w:id="75"/>
    <w:bookmarkStart w:id="76" w:name="ref-schneeweiss2019graphical"/>
    <w:p>
      <w:pPr>
        <w:pStyle w:val="Bibliography"/>
      </w:pPr>
      <w:r>
        <w:rPr>
          <w:b/>
          <w:bCs/>
        </w:rPr>
        <w:t xml:space="preserve">30</w:t>
      </w:r>
      <w:r>
        <w:t xml:space="preserve">. Schneeweiss S, Rassen JA, Brown JS, et al: Graphical depiction of longitudinal study designs in health care databases. Annals of internal medicine 170:398–406, 2019</w:t>
      </w:r>
    </w:p>
    <w:bookmarkEnd w:id="76"/>
    <w:bookmarkStart w:id="77" w:name="ref-rubin1976inference"/>
    <w:p>
      <w:pPr>
        <w:pStyle w:val="Bibliography"/>
      </w:pPr>
      <w:r>
        <w:rPr>
          <w:b/>
          <w:bCs/>
        </w:rPr>
        <w:t xml:space="preserve">31</w:t>
      </w:r>
      <w:r>
        <w:t xml:space="preserve">. Rubin DB: Inference and missing data. Biometrika 63:581–592, 1976</w:t>
      </w:r>
    </w:p>
    <w:bookmarkEnd w:id="77"/>
    <w:bookmarkStart w:id="78" w:name="ref-weberpals2024smdi"/>
    <w:p>
      <w:pPr>
        <w:pStyle w:val="Bibliography"/>
      </w:pPr>
      <w:r>
        <w:rPr>
          <w:b/>
          <w:bCs/>
        </w:rPr>
        <w:t xml:space="preserve">32</w:t>
      </w:r>
      <w:r>
        <w:t xml:space="preserve">. Weberpals J, Raman SR, Shaw PA, et al: Smdi: An r package to perform structural missing data investigations on partially observed confounders in real-world evidence studies. JAMIA open 7:ooae008, 2024</w:t>
      </w:r>
    </w:p>
    <w:bookmarkEnd w:id="78"/>
    <w:bookmarkStart w:id="80" w:name="ref-weberpals2024"/>
    <w:p>
      <w:pPr>
        <w:pStyle w:val="Bibliography"/>
      </w:pPr>
      <w:r>
        <w:rPr>
          <w:b/>
          <w:bCs/>
        </w:rPr>
        <w:t xml:space="preserve">33</w:t>
      </w:r>
      <w:r>
        <w:t xml:space="preserve">. Weberpals J, Raman SR, Shaw PA, et al: A principled approach to characterize and analyze partially observed confounder data from electronic health records [Internet]. Clinical Epidemiology 16:329–343, 2024Available from:</w:t>
      </w:r>
      <w:hyperlink r:id="rId79">
        <w:r>
          <w:rPr>
            <w:rStyle w:val="Hyperlink"/>
          </w:rPr>
          <w:t xml:space="preserve"> </w:t>
        </w:r>
        <w:r>
          <w:rPr>
            <w:rStyle w:val="Hyperlink"/>
          </w:rPr>
          <w:t xml:space="preserve">https://www.tandfonline.com/doi/abs/10.2147/CLEP.S436131</w:t>
        </w:r>
        <w:r>
          <w:rPr>
            <w:rStyle w:val="Hyperlink"/>
          </w:rPr>
          <w:t xml:space="preserve"> </w:t>
        </w:r>
      </w:hyperlink>
    </w:p>
    <w:bookmarkEnd w:id="80"/>
    <w:bookmarkStart w:id="81" w:name="ref-moreno2018canonical"/>
    <w:p>
      <w:pPr>
        <w:pStyle w:val="Bibliography"/>
      </w:pPr>
      <w:r>
        <w:rPr>
          <w:b/>
          <w:bCs/>
        </w:rPr>
        <w:t xml:space="preserve">34</w:t>
      </w:r>
      <w:r>
        <w:t xml:space="preserve">. Moreno-Betancur M, Lee KJ, Leacy FP, et al: Canonical causal diagrams to guide the treatment of missing data in epidemiologic studies. American journal of epidemiology 187:2705–2715, 2018</w:t>
      </w:r>
    </w:p>
    <w:bookmarkEnd w:id="81"/>
    <w:bookmarkStart w:id="82" w:name="ref-tompsett2018use"/>
    <w:p>
      <w:pPr>
        <w:pStyle w:val="Bibliography"/>
      </w:pPr>
      <w:r>
        <w:rPr>
          <w:b/>
          <w:bCs/>
        </w:rPr>
        <w:t xml:space="preserve">35</w:t>
      </w:r>
      <w:r>
        <w:t xml:space="preserve">. Tompsett DM, Leacy F, Moreno-Betancur M, et al: On the use of the not-at-random fully conditional specification (NARFCS) procedure in practice. Statistics in medicine 37:2338–2353, 2018</w:t>
      </w:r>
    </w:p>
    <w:bookmarkEnd w:id="82"/>
    <w:bookmarkStart w:id="84" w:name="ref-weberpals2024hdmi"/>
    <w:p>
      <w:pPr>
        <w:pStyle w:val="Bibliography"/>
      </w:pPr>
      <w:r>
        <w:rPr>
          <w:b/>
          <w:bCs/>
        </w:rPr>
        <w:t xml:space="preserve">36</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3">
        <w:r>
          <w:rPr>
            <w:rStyle w:val="Hyperlink"/>
          </w:rPr>
          <w:t xml:space="preserve">https://arxiv.org/abs/2405.10925</w:t>
        </w:r>
      </w:hyperlink>
    </w:p>
    <w:bookmarkEnd w:id="84"/>
    <w:bookmarkStart w:id="86" w:name="ref-Shaw2024"/>
    <w:p>
      <w:pPr>
        <w:pStyle w:val="Bibliography"/>
      </w:pPr>
      <w:r>
        <w:rPr>
          <w:b/>
          <w:bCs/>
        </w:rPr>
        <w:t xml:space="preserve">37</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5">
        <w:r>
          <w:rPr>
            <w:rStyle w:val="Hyperlink"/>
          </w:rPr>
          <w:t xml:space="preserve">https://github.com/PamelaShaw/Missing-Confounders-Methods</w:t>
        </w:r>
      </w:hyperlink>
    </w:p>
    <w:bookmarkEnd w:id="86"/>
    <w:bookmarkStart w:id="87" w:name="ref-cox1972regression"/>
    <w:p>
      <w:pPr>
        <w:pStyle w:val="Bibliography"/>
      </w:pPr>
      <w:r>
        <w:rPr>
          <w:b/>
          <w:bCs/>
        </w:rPr>
        <w:t xml:space="preserve">38</w:t>
      </w:r>
      <w:r>
        <w:t xml:space="preserve">. Cox DR: Regression models and life-tables. Journal of the royal statistical society. Series B (Methodological) 34:187–220, 1972</w:t>
      </w:r>
    </w:p>
    <w:bookmarkEnd w:id="87"/>
    <w:bookmarkStart w:id="88" w:name="ref-hernan2010hazards"/>
    <w:p>
      <w:pPr>
        <w:pStyle w:val="Bibliography"/>
      </w:pPr>
      <w:r>
        <w:rPr>
          <w:b/>
          <w:bCs/>
        </w:rPr>
        <w:t xml:space="preserve">39</w:t>
      </w:r>
      <w:r>
        <w:t xml:space="preserve">. Hernán MA: The hazards of hazard ratios. Epidemiology 21:13–15, 2010</w:t>
      </w:r>
    </w:p>
    <w:bookmarkEnd w:id="88"/>
    <w:bookmarkStart w:id="90" w:name="ref-stensrud2020test"/>
    <w:p>
      <w:pPr>
        <w:pStyle w:val="Bibliography"/>
      </w:pPr>
      <w:r>
        <w:rPr>
          <w:b/>
          <w:bCs/>
        </w:rPr>
        <w:t xml:space="preserve">40</w:t>
      </w:r>
      <w:r>
        <w:t xml:space="preserve">. Stensrud MJ, Hernán MA:</w:t>
      </w:r>
      <w:r>
        <w:t xml:space="preserve"> </w:t>
      </w:r>
      <w:hyperlink r:id="rId89">
        <w:r>
          <w:rPr>
            <w:rStyle w:val="Hyperlink"/>
          </w:rPr>
          <w:t xml:space="preserve">Why test for proportional hazards?</w:t>
        </w:r>
      </w:hyperlink>
      <w:r>
        <w:t xml:space="preserve"> Jama 323:1401–1402, 2020</w:t>
      </w:r>
    </w:p>
    <w:bookmarkEnd w:id="90"/>
    <w:bookmarkStart w:id="91" w:name="ref-kaplan1958nonparametric"/>
    <w:p>
      <w:pPr>
        <w:pStyle w:val="Bibliography"/>
      </w:pPr>
      <w:r>
        <w:rPr>
          <w:b/>
          <w:bCs/>
        </w:rPr>
        <w:t xml:space="preserve">41</w:t>
      </w:r>
      <w:r>
        <w:t xml:space="preserve">. Kaplan EL, Meier P: Nonparametric estimation from incomplete observations. Journal of the American statistical association 53:457–481, 1958</w:t>
      </w:r>
    </w:p>
    <w:bookmarkEnd w:id="91"/>
    <w:bookmarkStart w:id="92" w:name="ref-becker2020enhanced"/>
    <w:p>
      <w:pPr>
        <w:pStyle w:val="Bibliography"/>
      </w:pPr>
      <w:r>
        <w:rPr>
          <w:b/>
          <w:bCs/>
        </w:rPr>
        <w:t xml:space="preserve">42</w:t>
      </w:r>
      <w:r>
        <w:t xml:space="preserve">. Becker T, Weberpals J, Jegg A, et al: An enhanced prognostic score for overall survival of patients with cancer derived from a large real-world cohort. Annals of Oncology 31:1561–1568, 2020</w:t>
      </w:r>
    </w:p>
    <w:bookmarkEnd w:id="92"/>
    <w:bookmarkStart w:id="93" w:name="ref-leyrat2019propensity"/>
    <w:p>
      <w:pPr>
        <w:pStyle w:val="Bibliography"/>
      </w:pPr>
      <w:r>
        <w:rPr>
          <w:b/>
          <w:bCs/>
        </w:rPr>
        <w:t xml:space="preserve">43</w:t>
      </w:r>
      <w:r>
        <w:t xml:space="preserve">. Leyrat C, Seaman SR, White IR, et al: Propensity score analysis with partially observed covariates: How should multiple imputation be used? Statistical methods in medical research 28:3–19, 2019</w:t>
      </w:r>
    </w:p>
    <w:bookmarkEnd w:id="93"/>
    <w:bookmarkStart w:id="94" w:name="ref-pishgar2020matchthem"/>
    <w:p>
      <w:pPr>
        <w:pStyle w:val="Bibliography"/>
      </w:pPr>
      <w:r>
        <w:rPr>
          <w:b/>
          <w:bCs/>
        </w:rPr>
        <w:t xml:space="preserve">44</w:t>
      </w:r>
      <w:r>
        <w:t xml:space="preserve">. Pishgar F, Greifer N, Leyrat C, et al: MatchThem:: Matching and weighting after multiple imputation. arXiv preprint arXiv:200911772, 2020</w:t>
      </w:r>
    </w:p>
    <w:bookmarkEnd w:id="94"/>
    <w:bookmarkStart w:id="95" w:name="ref-rubin2018multiple"/>
    <w:p>
      <w:pPr>
        <w:pStyle w:val="Bibliography"/>
      </w:pPr>
      <w:r>
        <w:rPr>
          <w:b/>
          <w:bCs/>
        </w:rPr>
        <w:t xml:space="preserve">45</w:t>
      </w:r>
      <w:r>
        <w:t xml:space="preserve">. Rubin DB: Multiple imputation, in Flexible imputation of missing data, second edition. Chapman; Hall/CRC, 2018, pp 29–62</w:t>
      </w:r>
    </w:p>
    <w:bookmarkEnd w:id="95"/>
    <w:bookmarkStart w:id="96" w:name="ref-van2011mice"/>
    <w:p>
      <w:pPr>
        <w:pStyle w:val="Bibliography"/>
      </w:pPr>
      <w:r>
        <w:rPr>
          <w:b/>
          <w:bCs/>
        </w:rPr>
        <w:t xml:space="preserve">46</w:t>
      </w:r>
      <w:r>
        <w:t xml:space="preserve">. Van Buuren S, Groothuis-Oudshoorn K: Mice: Multivariate imputation by chained equations in r. Journal of statistical software 45:1–67, 2011</w:t>
      </w:r>
    </w:p>
    <w:bookmarkEnd w:id="96"/>
    <w:bookmarkStart w:id="97" w:name="ref-austin2009balance"/>
    <w:p>
      <w:pPr>
        <w:pStyle w:val="Bibliography"/>
      </w:pPr>
      <w:r>
        <w:rPr>
          <w:b/>
          <w:bCs/>
        </w:rPr>
        <w:t xml:space="preserve">47</w:t>
      </w:r>
      <w:r>
        <w:t xml:space="preserve">. Austin PC: Balance diagnostics for comparing the distribution of baseline covariates between treatment groups in propensity-score matched samples. Statistics in medicine 28:3083–3107, 2009</w:t>
      </w:r>
    </w:p>
    <w:bookmarkEnd w:id="97"/>
    <w:bookmarkStart w:id="98" w:name="ref-franklin2014metrics"/>
    <w:p>
      <w:pPr>
        <w:pStyle w:val="Bibliography"/>
      </w:pPr>
      <w:r>
        <w:rPr>
          <w:b/>
          <w:bCs/>
        </w:rPr>
        <w:t xml:space="preserve">48</w:t>
      </w:r>
      <w:r>
        <w:t xml:space="preserve">. Franklin JM, Rassen JA, Ackermann D, et al: Metrics for covariate balance in cohort studies of causal effects. Statistics in medicine 33:1685–1699, 2014</w:t>
      </w:r>
    </w:p>
    <w:bookmarkEnd w:id="98"/>
    <w:bookmarkStart w:id="99" w:name="ref-stuart2013prognostic"/>
    <w:p>
      <w:pPr>
        <w:pStyle w:val="Bibliography"/>
      </w:pPr>
      <w:r>
        <w:rPr>
          <w:b/>
          <w:bCs/>
        </w:rPr>
        <w:t xml:space="preserve">49</w:t>
      </w:r>
      <w:r>
        <w:t xml:space="preserve">. Stuart EA, Lee BK, Leacy FP: Prognostic score–based balance measures can be a useful diagnostic for propensity score methods in comparative effectiveness research. Journal of clinical epidemiology 66:S84–S90, 2013</w:t>
      </w:r>
    </w:p>
    <w:bookmarkEnd w:id="99"/>
    <w:bookmarkStart w:id="101" w:name="ref-warwick28685"/>
    <w:p>
      <w:pPr>
        <w:pStyle w:val="Bibliography"/>
      </w:pPr>
      <w:r>
        <w:rPr>
          <w:b/>
          <w:bCs/>
        </w:rPr>
        <w:t xml:space="preserve">50</w:t>
      </w:r>
      <w:r>
        <w:t xml:space="preserve">. Marshall A(Andrea), Billingham LJ, Bryan S: Can we afford to ignore missing data in cost-effectiveness analyses? [Internet]. European Journal of Health Economics Vol.10:1–3, 2009Available from:</w:t>
      </w:r>
      <w:r>
        <w:t xml:space="preserve"> </w:t>
      </w:r>
      <w:hyperlink r:id="rId100">
        <w:r>
          <w:rPr>
            <w:rStyle w:val="Hyperlink"/>
          </w:rPr>
          <w:t xml:space="preserve">http://dx.doi.org/10.1007/s10198-008-0129-y</w:t>
        </w:r>
      </w:hyperlink>
    </w:p>
    <w:bookmarkEnd w:id="101"/>
    <w:bookmarkStart w:id="102" w:name="ref-morisot2015prostate"/>
    <w:p>
      <w:pPr>
        <w:pStyle w:val="Bibliography"/>
      </w:pPr>
      <w:r>
        <w:rPr>
          <w:b/>
          <w:bCs/>
        </w:rPr>
        <w:t xml:space="preserve">51</w:t>
      </w:r>
      <w:r>
        <w:t xml:space="preserve">. Morisot A, Bessaoud F, Landais P, et al: Prostate cancer: Net survival and cause-specific survival rates after multiple imputation. BMC medical research methodology 15:1–14, 2015</w:t>
      </w:r>
    </w:p>
    <w:bookmarkEnd w:id="102"/>
    <w:bookmarkStart w:id="103" w:name="ref-franklin2020nonrandomized"/>
    <w:p>
      <w:pPr>
        <w:pStyle w:val="Bibliography"/>
      </w:pPr>
      <w:r>
        <w:rPr>
          <w:b/>
          <w:bCs/>
        </w:rPr>
        <w:t xml:space="preserve">52</w:t>
      </w:r>
      <w:r>
        <w:t xml:space="preserve">. Franklin JM, Pawar A, Martin D, et al: Nonrandomized real-world evidence to support regulatory decision making: Process for a randomized trial replication project. Clinical Pharmacology &amp; Therapeutics 107:817–826, 2020</w:t>
      </w:r>
    </w:p>
    <w:bookmarkEnd w:id="103"/>
    <w:bookmarkEnd w:id="104"/>
    <w:p>
      <w:r>
        <w:br w:type="page"/>
      </w:r>
    </w:p>
    <w:bookmarkEnd w:id="105"/>
    <w:bookmarkStart w:id="114"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09"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7" name="Picture"/>
                  <a:graphic>
                    <a:graphicData uri="http://schemas.openxmlformats.org/drawingml/2006/picture">
                      <pic:pic>
                        <pic:nvPicPr>
                          <pic:cNvPr descr="../tables/Table_1_trial_eligibility.png" id="108" name="Picture"/>
                          <pic:cNvPicPr>
                            <a:picLocks noChangeArrowheads="1" noChangeAspect="1"/>
                          </pic:cNvPicPr>
                        </pic:nvPicPr>
                        <pic:blipFill>
                          <a:blip r:embed="rId106"/>
                          <a:stretch>
                            <a:fillRect/>
                          </a:stretch>
                        </pic:blipFill>
                        <pic:spPr bwMode="auto">
                          <a:xfrm>
                            <a:off x="0" y="0"/>
                            <a:ext cx="5943600" cy="5414333"/>
                          </a:xfrm>
                          <a:prstGeom prst="rect">
                            <a:avLst/>
                          </a:prstGeom>
                          <a:noFill/>
                          <a:ln w="9525">
                            <a:noFill/>
                            <a:headEnd/>
                            <a:tailEnd/>
                          </a:ln>
                        </pic:spPr>
                      </pic:pic>
                    </a:graphicData>
                  </a:graphic>
                </wp:inline>
              </w:drawing>
            </w:r>
          </w:p>
          <w:bookmarkEnd w:id="109"/>
        </w:tc>
      </w:tr>
    </w:tbl>
    <w:p>
      <w:r>
        <w:br w:type="page"/>
      </w:r>
    </w:p>
    <w:tbl>
      <w:tblPr>
        <w:tblStyle w:val="Table"/>
        <w:tblW w:type="pct" w:w="5000"/>
        <w:tblLayout w:type="fixed"/>
        <w:tblLook w:firstRow="0" w:lastRow="0" w:firstColumn="0" w:lastColumn="0" w:noHBand="0" w:noVBand="0" w:val="0000"/>
      </w:tblPr>
      <w:tblGrid>
        <w:gridCol w:w="7920"/>
      </w:tblGrid>
      <w:tr>
        <w:tc>
          <w:tcPr/>
          <w:bookmarkStart w:id="113"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1" name="Picture"/>
                  <a:graphic>
                    <a:graphicData uri="http://schemas.openxmlformats.org/drawingml/2006/picture">
                      <pic:pic>
                        <pic:nvPicPr>
                          <pic:cNvPr descr="../tables/Table_2_trial_selection.png" id="112" name="Picture"/>
                          <pic:cNvPicPr>
                            <a:picLocks noChangeArrowheads="1" noChangeAspect="1"/>
                          </pic:cNvPicPr>
                        </pic:nvPicPr>
                        <pic:blipFill>
                          <a:blip r:embed="rId110"/>
                          <a:stretch>
                            <a:fillRect/>
                          </a:stretch>
                        </pic:blipFill>
                        <pic:spPr bwMode="auto">
                          <a:xfrm>
                            <a:off x="0" y="0"/>
                            <a:ext cx="5943600" cy="6065270"/>
                          </a:xfrm>
                          <a:prstGeom prst="rect">
                            <a:avLst/>
                          </a:prstGeom>
                          <a:noFill/>
                          <a:ln w="9525">
                            <a:noFill/>
                            <a:headEnd/>
                            <a:tailEnd/>
                          </a:ln>
                        </pic:spPr>
                      </pic:pic>
                    </a:graphicData>
                  </a:graphic>
                </wp:inline>
              </w:drawing>
            </w:r>
          </w:p>
          <w:bookmarkEnd w:id="113"/>
        </w:tc>
      </w:tr>
    </w:tbl>
    <w:p>
      <w:r>
        <w:br w:type="page"/>
      </w:r>
    </w:p>
    <w:bookmarkEnd w:id="114"/>
    <w:bookmarkStart w:id="12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18"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16" name="Picture"/>
                  <a:graphic>
                    <a:graphicData uri="http://schemas.openxmlformats.org/drawingml/2006/picture">
                      <pic:pic>
                        <pic:nvPicPr>
                          <pic:cNvPr descr="../figures/process.png" id="117" name="Picture"/>
                          <pic:cNvPicPr>
                            <a:picLocks noChangeArrowheads="1" noChangeAspect="1"/>
                          </pic:cNvPicPr>
                        </pic:nvPicPr>
                        <pic:blipFill>
                          <a:blip r:embed="rId115"/>
                          <a:stretch>
                            <a:fillRect/>
                          </a:stretch>
                        </pic:blipFill>
                        <pic:spPr bwMode="auto">
                          <a:xfrm>
                            <a:off x="0" y="0"/>
                            <a:ext cx="5943600" cy="3343275"/>
                          </a:xfrm>
                          <a:prstGeom prst="rect">
                            <a:avLst/>
                          </a:prstGeom>
                          <a:noFill/>
                          <a:ln w="9525">
                            <a:noFill/>
                            <a:headEnd/>
                            <a:tailEnd/>
                          </a:ln>
                        </pic:spPr>
                      </pic:pic>
                    </a:graphicData>
                  </a:graphic>
                </wp:inline>
              </w:drawing>
            </w:r>
          </w:p>
          <w:bookmarkEnd w:id="118"/>
        </w:tc>
      </w:tr>
    </w:tbl>
    <w:p>
      <w:pPr>
        <w:pStyle w:val="BodyText"/>
      </w:pPr>
      <w:hyperlink r:id="rId119">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3" w:name="fig-initiators"/>
          <w:p>
            <w:pPr>
              <w:jc w:val="center"/>
            </w:pPr>
            <w:pPr>
              <w:jc w:val="start"/>
              <w:spacing w:before="200"/>
              <w:pStyle w:val="ImageCaption"/>
            </w:pPr>
            <w:r>
              <w:t xml:space="preserve">Figure 2: Descriptive drug utilization analyses.</w:t>
            </w:r>
          </w:p>
          <w:p>
            <w:pPr>
              <w:pStyle w:val="Compact"/>
              <w:jc w:val="center"/>
            </w:pPr>
            <w:r>
              <w:drawing>
                <wp:inline>
                  <wp:extent cx="4577722" cy="6407666"/>
                  <wp:effectExtent b="0" l="0" r="0" t="0"/>
                  <wp:docPr descr="" title="" id="121" name="Picture"/>
                  <a:graphic>
                    <a:graphicData uri="http://schemas.openxmlformats.org/drawingml/2006/picture">
                      <pic:pic>
                        <pic:nvPicPr>
                          <pic:cNvPr descr="Figure_2_utlization.png" id="122" name="Picture"/>
                          <pic:cNvPicPr>
                            <a:picLocks noChangeArrowheads="1" noChangeAspect="1"/>
                          </pic:cNvPicPr>
                        </pic:nvPicPr>
                        <pic:blipFill>
                          <a:blip r:embed="rId120"/>
                          <a:stretch>
                            <a:fillRect/>
                          </a:stretch>
                        </pic:blipFill>
                        <pic:spPr bwMode="auto">
                          <a:xfrm>
                            <a:off x="0" y="0"/>
                            <a:ext cx="4577722" cy="6407666"/>
                          </a:xfrm>
                          <a:prstGeom prst="rect">
                            <a:avLst/>
                          </a:prstGeom>
                          <a:noFill/>
                          <a:ln w="9525">
                            <a:noFill/>
                            <a:headEnd/>
                            <a:tailEnd/>
                          </a:ln>
                        </pic:spPr>
                      </pic:pic>
                    </a:graphicData>
                  </a:graphic>
                </wp:inline>
              </w:drawing>
            </w:r>
          </w:p>
          <w:bookmarkEnd w:id="123"/>
        </w:tc>
      </w:tr>
    </w:tbl>
    <w:p>
      <w:r>
        <w:br w:type="page"/>
      </w:r>
    </w:p>
    <w:tbl>
      <w:tblPr>
        <w:tblStyle w:val="Table"/>
        <w:tblW w:type="pct" w:w="5000"/>
        <w:tblLayout w:type="fixed"/>
        <w:tblLook w:firstRow="0" w:lastRow="0" w:firstColumn="0" w:lastColumn="0" w:noHBand="0" w:noVBand="0" w:val="0000"/>
      </w:tblPr>
      <w:tblGrid>
        <w:gridCol w:w="7920"/>
      </w:tblGrid>
      <w:tr>
        <w:tc>
          <w:tcPr/>
          <w:bookmarkStart w:id="127" w:name="fig-balance"/>
          <w:p>
            <w:pPr>
              <w:jc w:val="center"/>
            </w:pPr>
            <w:pPr>
              <w:jc w:val="start"/>
              <w:spacing w:before="200"/>
              <w:pStyle w:val="ImageCaption"/>
            </w:pPr>
            <w:r>
              <w:t xml:space="preserve">Figure 3: Assessment of balance after propensity score matching or weighting across multiple imputed datasets.</w:t>
            </w:r>
          </w:p>
          <w:p>
            <w:pPr>
              <w:pStyle w:val="Compact"/>
              <w:jc w:val="center"/>
            </w:pPr>
            <w:r>
              <w:drawing>
                <wp:inline>
                  <wp:extent cx="5943600" cy="3962400"/>
                  <wp:effectExtent b="0" l="0" r="0" t="0"/>
                  <wp:docPr descr="" title="" id="125" name="Picture"/>
                  <a:graphic>
                    <a:graphicData uri="http://schemas.openxmlformats.org/drawingml/2006/picture">
                      <pic:pic>
                        <pic:nvPicPr>
                          <pic:cNvPr descr="Figure_3_balance.png" id="126" name="Picture"/>
                          <pic:cNvPicPr>
                            <a:picLocks noChangeArrowheads="1" noChangeAspect="1"/>
                          </pic:cNvPicPr>
                        </pic:nvPicPr>
                        <pic:blipFill>
                          <a:blip r:embed="rId124"/>
                          <a:stretch>
                            <a:fillRect/>
                          </a:stretch>
                        </pic:blipFill>
                        <pic:spPr bwMode="auto">
                          <a:xfrm>
                            <a:off x="0" y="0"/>
                            <a:ext cx="5943600" cy="3962400"/>
                          </a:xfrm>
                          <a:prstGeom prst="rect">
                            <a:avLst/>
                          </a:prstGeom>
                          <a:noFill/>
                          <a:ln w="9525">
                            <a:noFill/>
                            <a:headEnd/>
                            <a:tailEnd/>
                          </a:ln>
                        </pic:spPr>
                      </pic:pic>
                    </a:graphicData>
                  </a:graphic>
                </wp:inline>
              </w:drawing>
            </w:r>
          </w:p>
          <w:bookmarkEnd w:id="127"/>
        </w:tc>
      </w:tr>
    </w:tbl>
    <w:bookmarkEnd w:id="128"/>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15" Target="media/rId115.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19"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79"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69" Target="http://dx.doi.org/10.1002/pst.1917" TargetMode="External" /><Relationship Type="http://schemas.openxmlformats.org/officeDocument/2006/relationships/hyperlink" Id="rId100" Target="http://dx.doi.org/10.1007/s10198-008-0129-y" TargetMode="External" /><Relationship Type="http://schemas.openxmlformats.org/officeDocument/2006/relationships/hyperlink" Id="rId40" Target="http://dx.doi.org/10.1016/j.annepidem.2022.07.007" TargetMode="External" /><Relationship Type="http://schemas.openxmlformats.org/officeDocument/2006/relationships/hyperlink" Id="rId83" Target="https://arxiv.org/abs/2405.10925" TargetMode="External" /><Relationship Type="http://schemas.openxmlformats.org/officeDocument/2006/relationships/hyperlink" Id="rId59" Target="https://ascopubs.org/doi/abs/10.1200/JCO.2023.41.16_suppl.e21194" TargetMode="External" /><Relationship Type="http://schemas.openxmlformats.org/officeDocument/2006/relationships/hyperlink" Id="rId89" Target="https://doi.org/10.1001/jama.2020.1267" TargetMode="External" /><Relationship Type="http://schemas.openxmlformats.org/officeDocument/2006/relationships/hyperlink" Id="rId46" Target="https://doi.org/10.1001/jama.2023.4221" TargetMode="External" /><Relationship Type="http://schemas.openxmlformats.org/officeDocument/2006/relationships/hyperlink" Id="rId66" Target="https://doi.org/10.1016/j.jclinepi.2016.04.014" TargetMode="External" /><Relationship Type="http://schemas.openxmlformats.org/officeDocument/2006/relationships/hyperlink" Id="rId63" Target="https://doi.org/10.1016/j.jval.2022.09.001" TargetMode="External" /><Relationship Type="http://schemas.openxmlformats.org/officeDocument/2006/relationships/hyperlink" Id="rId48" Target="https://doi.org/10.1136/bmjmed-2023-000709" TargetMode="External" /><Relationship Type="http://schemas.openxmlformats.org/officeDocument/2006/relationships/hyperlink" Id="rId56" Target="https://doi.org/10.1158/1078-0432.CCR-22-0471" TargetMode="External" /><Relationship Type="http://schemas.openxmlformats.org/officeDocument/2006/relationships/hyperlink" Id="rId85" Target="https://github.com/PamelaShaw/Missing-Confounders-Methods" TargetMode="External" /><Relationship Type="http://schemas.openxmlformats.org/officeDocument/2006/relationships/hyperlink" Id="rId119" Target="https://github.com/janickweberpals/encore-process-manuscript/blob/main/figures/process.png" TargetMode="External" /><Relationship Type="http://schemas.openxmlformats.org/officeDocument/2006/relationships/hyperlink" Id="rId74" Target="https://keaven.github.io/gsDesign/" TargetMode="External" /><Relationship Type="http://schemas.openxmlformats.org/officeDocument/2006/relationships/hyperlink" Id="rId50" Target="https://www.fda.gov/about-fda/oncology-center-excellence/calibrating-real-world-evidence-studies-oncology-against-randomized-trials-encore" TargetMode="External" /><Relationship Type="http://schemas.openxmlformats.org/officeDocument/2006/relationships/hyperlink" Id="rId36"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2024-12-14T19:48:00Z</dcterms:created>
  <dcterms:modified xsi:type="dcterms:W3CDTF">2024-12-14T19:48:00Z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